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贵州省检察机关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" w:eastAsia="zh-CN" w:bidi="ar-SA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年1至</w:t>
      </w:r>
      <w:r>
        <w:rPr>
          <w:rFonts w:hint="default" w:eastAsia="方正小标宋简体" w:cs="Times New Roman"/>
          <w:b w:val="0"/>
          <w:bCs w:val="0"/>
          <w:color w:val="auto"/>
          <w:sz w:val="44"/>
          <w:szCs w:val="44"/>
          <w:highlight w:val="none"/>
          <w:lang w:val="en" w:eastAsia="zh-CN" w:bidi="ar-SA"/>
        </w:rPr>
        <w:t>9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 w:bidi="ar-SA"/>
        </w:rPr>
        <w:t>月主要业务数据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刑事检察工作情况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（一）审查逮捕、审查起诉情况。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检察机关共批准和决定逮捕各类犯罪嫌疑人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20854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"/>
        </w:rPr>
        <w:t xml:space="preserve">;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不捕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12360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37.21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共决定起诉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35483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不起诉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11403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人，不诉率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24.32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（二）认罪认罚从宽制度适用情况。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已办理的审查起诉案件中，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适用认罪认罚从宽制度审结人数占同期审结人数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86.0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%；检察机关提出确定刑量刑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占量刑建议提出数的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94.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%；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对检察机关提出的量刑建议，法院采纳人数占同期提出量刑建议数的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92.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23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（三）刑事诉讼监督办案情况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1.立案监督。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对公安机关开展立案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和撤案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3234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监督后公安机关已立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案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2867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纠正侦查活动违法。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检察机关针对侦查活动违法行为，提出纠正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8316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件，监督采纳率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96.17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刑事抗诉。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检察机关共提出抗诉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101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件；法院采纳抗诉意见改判和发回重审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，占审结总数的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75.89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纠正刑事审判活动违法。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检察机关针对刑事审判活动中违法行为，提出纠正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同期审判机关采纳率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96.49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（四）刑事执行检察情况。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检察机关对“减刑、假释、暂予监外执行”不当提出纠正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违法通知书及检察建议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刑罚执行和监管活动严重违法行为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提出纠正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3542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；对监外执行活动违法行为提出纠正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1170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人；对财产性判项执行履职不当提出纠正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504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（五）办理司法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人员职务犯罪案件情况。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检察机关共立案侦查司法工作人员相关职务犯罪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民事检察工作情况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（一）对民事生效判决、裁定、调解书监督情况。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共办结民事生效裁判监督案件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1990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提出监督意见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件，其中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抗诉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法院再审改变率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90.43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；向法院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提出再审检察建议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，法院同期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再审检察建议采纳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率</w:t>
      </w:r>
      <w:r>
        <w:rPr>
          <w:rFonts w:hint="default" w:cs="Times New Roman"/>
          <w:color w:val="auto"/>
          <w:sz w:val="32"/>
          <w:szCs w:val="32"/>
          <w:highlight w:val="none"/>
          <w:lang w:val="en" w:eastAsia="zh-CN"/>
        </w:rPr>
        <w:t>57.25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（二）对民事审判活动监督情况。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检察机关共对民事审判活动违法行为提出检察建议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723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94.09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（三）对民事执行活动监督情况。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检察机关共对民事执行活动违法行为提出检察建议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544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83.85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对民事虚假诉讼监督情况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提出的民事诉讼监督意见中涉及虚假诉讼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134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）民事支持起诉情况。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检察机关共支持起诉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2966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，其中支持农民工起诉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1999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行政检察工作情况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（一）对行政生效判决、裁定、调解书监督情况。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共办结行政生效裁判监督案件</w:t>
      </w:r>
      <w:r>
        <w:rPr>
          <w:rFonts w:hint="default" w:cs="Times New Roman"/>
          <w:color w:val="auto"/>
          <w:sz w:val="32"/>
          <w:szCs w:val="32"/>
          <w:highlight w:val="none"/>
          <w:lang w:val="en" w:eastAsia="zh-CN"/>
        </w:rPr>
        <w:t>415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，其中向法院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提出抗诉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法院再审改变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提出再审检察建议</w:t>
      </w:r>
      <w:r>
        <w:rPr>
          <w:rFonts w:hint="default" w:cs="Times New Roman"/>
          <w:color w:val="auto"/>
          <w:sz w:val="32"/>
          <w:szCs w:val="32"/>
          <w:highlight w:val="none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件，法院同期裁定再审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件，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占</w:t>
      </w:r>
      <w:r>
        <w:rPr>
          <w:rFonts w:hint="default" w:cs="Times New Roman"/>
          <w:color w:val="auto"/>
          <w:sz w:val="32"/>
          <w:szCs w:val="32"/>
          <w:highlight w:val="none"/>
          <w:lang w:val="en" w:eastAsia="zh-CN"/>
        </w:rPr>
        <w:t>28.57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（二）对行政审判活动监督情况。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检察机关对行政审判活动违法行为提出检察建议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293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件，法院同期采纳率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91.53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（三）对行政执行活动监督情况。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检察机关对行政执行活动违法行为提出检察建议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665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法院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同期采纳率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89.32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（四）行政争议实质性化解情况。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促进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行政争议实质性化解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公益诉讼检察工作情况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（一）立案情况。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检察机关共立案办理公益诉讼案件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4086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件。其中民事公益诉讼类立案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650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件，行政公益诉讼类立案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3436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（二）诉前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eastAsia="zh-CN"/>
        </w:rPr>
        <w:t>整改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民事公益诉讼发出诉前公告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563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;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行政公益诉讼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诉前检察建议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2079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95.92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%的案件在诉前得到解决。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（三）提起诉讼和判决情况。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检察机关共提起公益诉讼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81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法院一审裁判支持率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99.49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未成年人检察工作情况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（一）审查逮捕情况。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检察机关共批准逮捕未成年犯罪嫌疑人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1166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1825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人，不捕率为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61.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%。同期，对侵害未成年人犯罪批准逮捕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2437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（二）审查起诉情况。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检察机关共对未成年犯罪嫌疑人决定起诉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1473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人，不起诉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1533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人，不起诉率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%。审结时，作出附条件不起诉决定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737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人，占审结数的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%。同期，对侵害未成年人犯罪决定起诉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2671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（三）有关特殊制度开展情况。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检察机关通过帮教回访、心理疏导、家庭教育指导等形式对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不批捕、不起诉、被判处刑罚、未达刑事责任年龄不受刑事处罚等人员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开展特殊预防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176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次；开展法治巡讲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cs="Times New Roman"/>
          <w:color w:val="auto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32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六、关于知识产权检察工作情况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（一）刑事检察情况。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全省检察机关共起诉侵犯知识产权犯罪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61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人。起诉案件所涉罪名，主要是假冒注册商标罪和销售假冒注册商标的商品罪，分别为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（二）民事检察、公益诉讼检察情况。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全省检察机关共受理涉知识产权民事判决、裁定、调解书监督案件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受理涉知识产权行政判决、裁定、调解书监督案件1件，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立案办理知识产权领域公益诉讼案件</w:t>
      </w:r>
      <w:r>
        <w:rPr>
          <w:rFonts w:hint="default" w:eastAsia="仿宋_GB2312" w:cs="Times New Roman"/>
          <w:color w:val="auto"/>
          <w:sz w:val="32"/>
          <w:szCs w:val="32"/>
          <w:lang w:val="en" w:eastAsia="zh-CN"/>
        </w:rPr>
        <w:t>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关于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控告申诉检察工作情况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（一）信访工作情况。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检察机关共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接收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群众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eastAsia="zh-CN"/>
        </w:rPr>
        <w:t>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访</w:t>
      </w:r>
      <w:bookmarkStart w:id="0" w:name="控申受理来信来访"/>
      <w:bookmarkEnd w:id="0"/>
      <w:bookmarkStart w:id="1" w:name="受理来信来访件数"/>
      <w:bookmarkEnd w:id="1"/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17783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；重复信访</w:t>
      </w:r>
      <w:r>
        <w:rPr>
          <w:rFonts w:hint="eastAsia" w:cs="Times New Roman"/>
          <w:color w:val="auto"/>
          <w:sz w:val="32"/>
          <w:szCs w:val="32"/>
          <w:highlight w:val="none"/>
          <w:lang w:val="en-US" w:eastAsia="zh-CN"/>
        </w:rPr>
        <w:t>2460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件。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受理刑事赔偿申请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件，决定给予刑事赔偿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件。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（二）司法救助工作情况。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全省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检察机关共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实际求助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1962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八、其他工作情况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（一）入额院领导办案情况。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全省检察机关入额院领导共办理案件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20744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件。其中各级院检察长办理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1333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6.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%；副检察长、检委会专职委员及其他入额院领导办理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19411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件，占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93.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57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%。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入额院领导办理案件中，刑事检察类案件（含刑事执行检察、未成年人检察、控告申诉检察等）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16153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件；民事、行政检察类案件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2073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件；公益诉讼类案件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946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件；案件管理类案件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1572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  <w:t>（二）检察长列席人民法院审判委员会会议情况。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全省检察机关各级检察院检察长、受检察长委托的副检察长，共列席人民法院审判委员会会议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177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decimal" w:start="2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7715"/>
        <w:tab w:val="clear" w:pos="4153"/>
      </w:tabs>
      <w:ind w:right="360" w:firstLine="360"/>
      <w:rPr>
        <w:rFonts w:hint="eastAsia" w:eastAsia="仿宋_GB2312"/>
        <w:lang w:val="en-US" w:eastAsia="zh-CN"/>
      </w:rPr>
    </w:pPr>
    <w:r>
      <w:rPr>
        <w:rFonts w:hint="eastAsia"/>
        <w:lang w:val="en-US" w:eastAsia="zh-CN"/>
      </w:rPr>
      <w:t xml:space="preserve">  </w:t>
    </w:r>
    <w:r>
      <w:rPr>
        <w:rFonts w:hint="eastAsia"/>
        <w:lang w:val="en-US"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right="208" w:rightChars="65"/>
      <w:rPr>
        <w:rStyle w:val="12"/>
        <w:rFonts w:hint="eastAsia" w:ascii="仿宋_GB2312"/>
        <w:sz w:val="28"/>
      </w:rPr>
    </w:pPr>
    <w:r>
      <w:rPr>
        <w:rStyle w:val="12"/>
        <w:rFonts w:hint="eastAsia" w:ascii="宋体" w:hAnsi="宋体" w:eastAsia="宋体"/>
        <w:sz w:val="28"/>
        <w:lang w:val="en-US" w:eastAsia="zh-CN"/>
      </w:rPr>
      <w:t xml:space="preserve"> 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readOnly" w:enforcement="0"/>
  <w:defaultTabStop w:val="420"/>
  <w:hyphenationZone w:val="360"/>
  <w:evenAndOddHeaders w:val="true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E7535"/>
    <w:rsid w:val="06485CA2"/>
    <w:rsid w:val="0CFB6EDB"/>
    <w:rsid w:val="0FF6DFAE"/>
    <w:rsid w:val="0FFF503E"/>
    <w:rsid w:val="129E0914"/>
    <w:rsid w:val="1BFBA315"/>
    <w:rsid w:val="1E011371"/>
    <w:rsid w:val="1EE96495"/>
    <w:rsid w:val="2DFF183D"/>
    <w:rsid w:val="2F7F731C"/>
    <w:rsid w:val="2F9B1FB4"/>
    <w:rsid w:val="2FBB762F"/>
    <w:rsid w:val="2FE16CC6"/>
    <w:rsid w:val="35F736B2"/>
    <w:rsid w:val="386C3573"/>
    <w:rsid w:val="396F3CFD"/>
    <w:rsid w:val="3D285C81"/>
    <w:rsid w:val="3D76ED21"/>
    <w:rsid w:val="3E3D5EB2"/>
    <w:rsid w:val="413E7535"/>
    <w:rsid w:val="426408CA"/>
    <w:rsid w:val="473E7982"/>
    <w:rsid w:val="4A1849ED"/>
    <w:rsid w:val="4BCC71D5"/>
    <w:rsid w:val="5576416B"/>
    <w:rsid w:val="5A041274"/>
    <w:rsid w:val="5B630CD6"/>
    <w:rsid w:val="5D74BE6C"/>
    <w:rsid w:val="5DC78F30"/>
    <w:rsid w:val="5F8921A7"/>
    <w:rsid w:val="61D006A9"/>
    <w:rsid w:val="67FE8673"/>
    <w:rsid w:val="6B3CE6C9"/>
    <w:rsid w:val="6E351176"/>
    <w:rsid w:val="71446AC7"/>
    <w:rsid w:val="725473C0"/>
    <w:rsid w:val="73AD2F5A"/>
    <w:rsid w:val="73DF2804"/>
    <w:rsid w:val="75074D46"/>
    <w:rsid w:val="775D389E"/>
    <w:rsid w:val="77FAB977"/>
    <w:rsid w:val="79727D5B"/>
    <w:rsid w:val="7AC22461"/>
    <w:rsid w:val="7BFC0A68"/>
    <w:rsid w:val="7BFF3FB1"/>
    <w:rsid w:val="7DEBCD49"/>
    <w:rsid w:val="7DFF1E68"/>
    <w:rsid w:val="7FBF4500"/>
    <w:rsid w:val="7FF39873"/>
    <w:rsid w:val="7FFF1832"/>
    <w:rsid w:val="97F7F0EB"/>
    <w:rsid w:val="9EFF3FCC"/>
    <w:rsid w:val="A9CE2D6F"/>
    <w:rsid w:val="B53E5A11"/>
    <w:rsid w:val="B773D71B"/>
    <w:rsid w:val="BC67BB2C"/>
    <w:rsid w:val="BCFFFADC"/>
    <w:rsid w:val="CBAF8E48"/>
    <w:rsid w:val="DF68A0B1"/>
    <w:rsid w:val="DF7FBF95"/>
    <w:rsid w:val="DFBF6F51"/>
    <w:rsid w:val="E33FCD7C"/>
    <w:rsid w:val="E7E699F2"/>
    <w:rsid w:val="EEF60FF4"/>
    <w:rsid w:val="EFE39A36"/>
    <w:rsid w:val="EFFDB9A1"/>
    <w:rsid w:val="F23CF1E0"/>
    <w:rsid w:val="F2FD2A21"/>
    <w:rsid w:val="F5F9E782"/>
    <w:rsid w:val="F6F802D5"/>
    <w:rsid w:val="FCFF5064"/>
    <w:rsid w:val="FDF51C07"/>
    <w:rsid w:val="FEEEA8F9"/>
    <w:rsid w:val="FFF9BBD3"/>
    <w:rsid w:val="FFFF8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0">
    <w:name w:val="Default Paragraph Font"/>
    <w:link w:val="11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 Indent"/>
    <w:basedOn w:val="1"/>
    <w:qFormat/>
    <w:uiPriority w:val="0"/>
    <w:pPr>
      <w:ind w:firstLine="630"/>
    </w:pPr>
  </w:style>
  <w:style w:type="paragraph" w:styleId="5">
    <w:name w:val="Date"/>
    <w:basedOn w:val="1"/>
    <w:next w:val="1"/>
    <w:qFormat/>
    <w:uiPriority w:val="0"/>
  </w:style>
  <w:style w:type="paragraph" w:styleId="6">
    <w:name w:val="Body Text Indent 2"/>
    <w:basedOn w:val="1"/>
    <w:qFormat/>
    <w:uiPriority w:val="0"/>
    <w:pPr>
      <w:ind w:firstLine="660"/>
    </w:pPr>
    <w:rPr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11">
    <w:name w:val="Char"/>
    <w:basedOn w:val="1"/>
    <w:link w:val="10"/>
    <w:qFormat/>
    <w:uiPriority w:val="0"/>
    <w:pPr>
      <w:widowControl/>
      <w:spacing w:line="360" w:lineRule="auto"/>
      <w:jc w:val="left"/>
    </w:pPr>
  </w:style>
  <w:style w:type="character" w:styleId="12">
    <w:name w:val="page number"/>
    <w:basedOn w:val="10"/>
    <w:qFormat/>
    <w:uiPriority w:val="0"/>
  </w:style>
  <w:style w:type="paragraph" w:customStyle="1" w:styleId="13">
    <w:name w:val="Char1"/>
    <w:basedOn w:val="1"/>
    <w:qFormat/>
    <w:uiPriority w:val="0"/>
    <w:pPr>
      <w:tabs>
        <w:tab w:val="left" w:pos="360"/>
      </w:tabs>
    </w:pPr>
  </w:style>
  <w:style w:type="paragraph" w:customStyle="1" w:styleId="14">
    <w:name w:val="p0"/>
    <w:qFormat/>
    <w:uiPriority w:val="0"/>
    <w:pPr>
      <w:widowControl/>
      <w:jc w:val="both"/>
    </w:pPr>
    <w:rPr>
      <w:rFonts w:ascii="Calibri" w:hAnsi="Calibri" w:eastAsia="仿宋_GB2312" w:cs="Times New Roman"/>
      <w:kern w:val="0"/>
      <w:sz w:val="32"/>
      <w:szCs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xcgzw/D:\&#26446;&#22914;&#20912;\2023&#24180;\&#21150;&#20214;\&#19977;&#26376;\&#20851;&#20110;&#25913;&#36827;&#21644;&#35268;&#33539;&#26816;&#23519;&#19994;&#21153;&#25968;&#25454;&#21457;&#24067;&#24037;&#20316;&#30340;&#25552;&#31034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关于改进和规范检察业务数据发布工作的提示.wpt</Template>
  <Pages>13</Pages>
  <Words>5286</Words>
  <Characters>5333</Characters>
  <Lines>1</Lines>
  <Paragraphs>1</Paragraphs>
  <TotalTime>88</TotalTime>
  <ScaleCrop>false</ScaleCrop>
  <LinksUpToDate>false</LinksUpToDate>
  <CharactersWithSpaces>5546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2023-03-17T06:32:00Z</dcterms:created>
  <dc:creator>李如冰</dc:creator>
  <cp:lastModifiedBy>xcgzw</cp:lastModifiedBy>
  <dcterms:modified xsi:type="dcterms:W3CDTF">2024-10-29T09:51:26Z</dcterms:modified>
  <dc:title>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5A7CA251126942E0AF14BFBB15E7D0F4</vt:lpwstr>
  </property>
</Properties>
</file>